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578" w:rsidRPr="00E46934" w:rsidRDefault="007E7340" w:rsidP="00E46934">
      <w:pPr>
        <w:tabs>
          <w:tab w:val="center" w:pos="5103"/>
          <w:tab w:val="left" w:pos="7575"/>
        </w:tabs>
        <w:spacing w:after="120"/>
        <w:ind w:firstLine="0"/>
        <w:jc w:val="center"/>
        <w:rPr>
          <w:rFonts w:eastAsia="Calibri"/>
          <w:b/>
          <w:szCs w:val="28"/>
          <w:lang w:eastAsia="en-US"/>
        </w:rPr>
      </w:pPr>
      <w:r w:rsidRPr="00E46934">
        <w:rPr>
          <w:b/>
          <w:szCs w:val="28"/>
        </w:rPr>
        <w:t>Отчет о реализации Государственной программы «</w:t>
      </w:r>
      <w:r w:rsidR="00570101" w:rsidRPr="00E46934">
        <w:rPr>
          <w:b/>
          <w:szCs w:val="28"/>
        </w:rPr>
        <w:t>Развитие лесного хозяйства Республики Татарстан на 2014–2024 годы</w:t>
      </w:r>
      <w:r w:rsidRPr="00E46934">
        <w:rPr>
          <w:b/>
          <w:szCs w:val="28"/>
        </w:rPr>
        <w:t>» за 2019 год</w:t>
      </w:r>
    </w:p>
    <w:p w:rsidR="00E30BA7" w:rsidRPr="00362DCB" w:rsidRDefault="00E30BA7" w:rsidP="00D418DA">
      <w:pPr>
        <w:ind w:firstLine="709"/>
        <w:contextualSpacing/>
        <w:rPr>
          <w:szCs w:val="28"/>
        </w:rPr>
      </w:pPr>
      <w:r w:rsidRPr="00362DCB">
        <w:rPr>
          <w:szCs w:val="28"/>
        </w:rPr>
        <w:t>В 2019 году на реализацию мероприятий</w:t>
      </w:r>
      <w:r w:rsidR="00AA5615" w:rsidRPr="00AA5615">
        <w:rPr>
          <w:szCs w:val="28"/>
        </w:rPr>
        <w:t xml:space="preserve"> </w:t>
      </w:r>
      <w:r w:rsidR="00AA5615" w:rsidRPr="00362DCB">
        <w:rPr>
          <w:szCs w:val="28"/>
        </w:rPr>
        <w:t>государственной программы</w:t>
      </w:r>
      <w:r w:rsidR="00AA5615" w:rsidRPr="00AA5615">
        <w:t xml:space="preserve"> </w:t>
      </w:r>
      <w:r w:rsidR="00AA5615">
        <w:t>«</w:t>
      </w:r>
      <w:r w:rsidR="00AA5615" w:rsidRPr="00AA5615">
        <w:rPr>
          <w:szCs w:val="28"/>
        </w:rPr>
        <w:t>Развитие лесного хозяйства Республики Татарстан на 2014-2024 годы» (далее – Программа)</w:t>
      </w:r>
      <w:r w:rsidRPr="00362DCB">
        <w:rPr>
          <w:szCs w:val="28"/>
        </w:rPr>
        <w:t xml:space="preserve"> направлен</w:t>
      </w:r>
      <w:r w:rsidR="006A3A35" w:rsidRPr="00362DCB">
        <w:rPr>
          <w:szCs w:val="28"/>
        </w:rPr>
        <w:t>ы</w:t>
      </w:r>
      <w:r w:rsidRPr="00362DCB">
        <w:rPr>
          <w:szCs w:val="28"/>
        </w:rPr>
        <w:t xml:space="preserve"> средств</w:t>
      </w:r>
      <w:r w:rsidR="006A3A35" w:rsidRPr="00362DCB">
        <w:rPr>
          <w:szCs w:val="28"/>
        </w:rPr>
        <w:t>а</w:t>
      </w:r>
      <w:r w:rsidRPr="00362DCB">
        <w:rPr>
          <w:szCs w:val="28"/>
        </w:rPr>
        <w:t xml:space="preserve"> в объеме 1072,7 млн</w:t>
      </w:r>
      <w:r w:rsidR="00C257EC" w:rsidRPr="00362DCB">
        <w:rPr>
          <w:szCs w:val="28"/>
        </w:rPr>
        <w:t>.</w:t>
      </w:r>
      <w:r w:rsidRPr="00362DCB">
        <w:rPr>
          <w:szCs w:val="28"/>
        </w:rPr>
        <w:t xml:space="preserve"> рублей. Из них средств</w:t>
      </w:r>
      <w:r w:rsidR="0090233D" w:rsidRPr="00362DCB">
        <w:rPr>
          <w:szCs w:val="28"/>
        </w:rPr>
        <w:t>а</w:t>
      </w:r>
      <w:r w:rsidRPr="00362DCB">
        <w:rPr>
          <w:szCs w:val="28"/>
        </w:rPr>
        <w:t xml:space="preserve"> федерального бюджета – 479,2 млн</w:t>
      </w:r>
      <w:r w:rsidR="00C257EC" w:rsidRPr="00362DCB">
        <w:rPr>
          <w:szCs w:val="28"/>
        </w:rPr>
        <w:t>.</w:t>
      </w:r>
      <w:r w:rsidRPr="00362DCB">
        <w:rPr>
          <w:szCs w:val="28"/>
        </w:rPr>
        <w:t xml:space="preserve"> рублей, бюджета Республики Татарстан – 593,5 млн</w:t>
      </w:r>
      <w:r w:rsidR="00C257EC" w:rsidRPr="00362DCB">
        <w:rPr>
          <w:szCs w:val="28"/>
        </w:rPr>
        <w:t>.</w:t>
      </w:r>
      <w:r w:rsidRPr="00362DCB">
        <w:rPr>
          <w:szCs w:val="28"/>
        </w:rPr>
        <w:t xml:space="preserve"> рублей</w:t>
      </w:r>
      <w:r w:rsidR="001343C0" w:rsidRPr="00362DCB">
        <w:rPr>
          <w:szCs w:val="28"/>
        </w:rPr>
        <w:t>.</w:t>
      </w:r>
    </w:p>
    <w:p w:rsidR="00581C3A" w:rsidRPr="00E46934" w:rsidRDefault="00581C3A" w:rsidP="00D418DA">
      <w:pPr>
        <w:ind w:firstLine="709"/>
        <w:contextualSpacing/>
        <w:rPr>
          <w:szCs w:val="28"/>
        </w:rPr>
      </w:pPr>
      <w:r w:rsidRPr="00E46934">
        <w:rPr>
          <w:szCs w:val="28"/>
        </w:rPr>
        <w:t>По итогам 2019 года не достиг</w:t>
      </w:r>
      <w:r w:rsidR="00C257EC" w:rsidRPr="00E46934">
        <w:rPr>
          <w:szCs w:val="28"/>
        </w:rPr>
        <w:t>нуто плановое значение</w:t>
      </w:r>
      <w:r w:rsidR="0090233D" w:rsidRPr="00E46934">
        <w:rPr>
          <w:szCs w:val="28"/>
        </w:rPr>
        <w:t xml:space="preserve"> одного</w:t>
      </w:r>
      <w:r w:rsidRPr="00E46934">
        <w:rPr>
          <w:szCs w:val="28"/>
        </w:rPr>
        <w:t xml:space="preserve"> индикатор</w:t>
      </w:r>
      <w:r w:rsidR="00C257EC" w:rsidRPr="00E46934">
        <w:rPr>
          <w:szCs w:val="28"/>
        </w:rPr>
        <w:t>а</w:t>
      </w:r>
      <w:r w:rsidRPr="00E46934">
        <w:rPr>
          <w:szCs w:val="28"/>
        </w:rPr>
        <w:t xml:space="preserve">: </w:t>
      </w:r>
    </w:p>
    <w:p w:rsidR="007F4D97" w:rsidRPr="00E46934" w:rsidRDefault="007F4D97" w:rsidP="00D418DA">
      <w:pPr>
        <w:ind w:firstLine="709"/>
        <w:contextualSpacing/>
        <w:rPr>
          <w:szCs w:val="28"/>
        </w:rPr>
      </w:pPr>
      <w:r w:rsidRPr="00E46934">
        <w:rPr>
          <w:szCs w:val="28"/>
        </w:rPr>
        <w:t xml:space="preserve">Динамика предотвращения возникновения нарушений лесного законодательства, причиняющих вред лесам, относительно уровня нарушений предыдущего года, </w:t>
      </w:r>
      <w:r w:rsidR="00581C3A" w:rsidRPr="00E46934">
        <w:rPr>
          <w:szCs w:val="28"/>
        </w:rPr>
        <w:t>-1%</w:t>
      </w:r>
      <w:r w:rsidR="00487CC4" w:rsidRPr="00E46934">
        <w:rPr>
          <w:szCs w:val="28"/>
        </w:rPr>
        <w:t>:</w:t>
      </w:r>
    </w:p>
    <w:p w:rsidR="00AD12C3" w:rsidRPr="00E46934" w:rsidRDefault="00AD12C3" w:rsidP="00D418DA">
      <w:pPr>
        <w:ind w:firstLine="709"/>
        <w:contextualSpacing/>
        <w:rPr>
          <w:szCs w:val="28"/>
        </w:rPr>
      </w:pPr>
      <w:r w:rsidRPr="00E46934">
        <w:rPr>
          <w:szCs w:val="28"/>
        </w:rPr>
        <w:t>Количество нарушений лесного законодательства в 2019 году составило 386 случаев, что превысило данный показатель за 2018 год на 1% (382 случая). Увеличение числа нарушений лесного законодательства в 2019 году связано с увеличением случаев нарушений в виде загрязнения лесов химическими и другими вредными веществами и (или) другого негативного воздействия на леса.</w:t>
      </w:r>
    </w:p>
    <w:p w:rsidR="00B24056" w:rsidRPr="00E46934" w:rsidRDefault="00B24056" w:rsidP="00D418DA">
      <w:pPr>
        <w:ind w:firstLine="709"/>
        <w:contextualSpacing/>
        <w:rPr>
          <w:szCs w:val="28"/>
        </w:rPr>
      </w:pPr>
      <w:r w:rsidRPr="00E46934">
        <w:rPr>
          <w:szCs w:val="28"/>
        </w:rPr>
        <w:t>По следующим индикаторам плановые значения перевыполнены:</w:t>
      </w:r>
    </w:p>
    <w:p w:rsidR="00E50E3C" w:rsidRPr="00E46934" w:rsidRDefault="00E50E3C" w:rsidP="00D418DA">
      <w:pPr>
        <w:ind w:firstLine="709"/>
        <w:contextualSpacing/>
        <w:rPr>
          <w:szCs w:val="28"/>
        </w:rPr>
      </w:pPr>
      <w:r w:rsidRPr="00E46934">
        <w:rPr>
          <w:szCs w:val="28"/>
        </w:rPr>
        <w:t>Доля площади погибших и поврежденных лесных насаждений с учетом проведенных мероприятий по за</w:t>
      </w:r>
      <w:r w:rsidR="0090233D" w:rsidRPr="00E46934">
        <w:rPr>
          <w:szCs w:val="28"/>
        </w:rPr>
        <w:t>щите леса в</w:t>
      </w:r>
      <w:r w:rsidRPr="00E46934">
        <w:rPr>
          <w:szCs w:val="28"/>
        </w:rPr>
        <w:t xml:space="preserve"> общей площади земель лесного фонда, занятых лесными насаждениями, </w:t>
      </w:r>
      <w:r w:rsidR="00AD12C3" w:rsidRPr="00E46934">
        <w:rPr>
          <w:szCs w:val="28"/>
        </w:rPr>
        <w:t>2,126%:</w:t>
      </w:r>
    </w:p>
    <w:p w:rsidR="00F0587E" w:rsidRPr="00E46934" w:rsidRDefault="00F0587E" w:rsidP="00D418DA">
      <w:pPr>
        <w:ind w:firstLine="709"/>
        <w:contextualSpacing/>
        <w:rPr>
          <w:szCs w:val="28"/>
        </w:rPr>
      </w:pPr>
      <w:r w:rsidRPr="00E46934">
        <w:rPr>
          <w:szCs w:val="28"/>
        </w:rPr>
        <w:t>По результатам проведенного визуального лесопатологического обследования лесных насаждений в 2019 году на большинстве участков не выявлены признаки ослабления лесных насаждений.</w:t>
      </w:r>
      <w:r w:rsidR="001343C0" w:rsidRPr="00E46934">
        <w:rPr>
          <w:szCs w:val="28"/>
        </w:rPr>
        <w:t xml:space="preserve"> </w:t>
      </w:r>
      <w:r w:rsidRPr="00E46934">
        <w:rPr>
          <w:szCs w:val="28"/>
        </w:rPr>
        <w:t>Также в 2019 году произошло затухание очагов болезней и вредителей леса на площади 30 663 га. По состоянию на 0</w:t>
      </w:r>
      <w:r w:rsidR="00F6198C" w:rsidRPr="00E46934">
        <w:rPr>
          <w:szCs w:val="28"/>
        </w:rPr>
        <w:t>1</w:t>
      </w:r>
      <w:r w:rsidRPr="00E46934">
        <w:rPr>
          <w:szCs w:val="28"/>
        </w:rPr>
        <w:t xml:space="preserve">.01.2019 площадь очагов составляла 66280 га, на 01.01.2020 – 36094,6 га. Кроме того, с 2011 года на территории Республики Татарстан не было </w:t>
      </w:r>
      <w:r w:rsidR="0090233D" w:rsidRPr="00E46934">
        <w:rPr>
          <w:szCs w:val="28"/>
        </w:rPr>
        <w:t xml:space="preserve">допущено возникновение </w:t>
      </w:r>
      <w:r w:rsidRPr="00E46934">
        <w:rPr>
          <w:szCs w:val="28"/>
        </w:rPr>
        <w:t>лесных пожаров, что тоже способствует уменьшению площадей погибших насаждений по сравнению с предыдущими периодами</w:t>
      </w:r>
      <w:r w:rsidR="001343C0" w:rsidRPr="00E46934">
        <w:rPr>
          <w:szCs w:val="28"/>
        </w:rPr>
        <w:t>.</w:t>
      </w:r>
    </w:p>
    <w:p w:rsidR="00AD12C3" w:rsidRPr="00E46934" w:rsidRDefault="00AD12C3" w:rsidP="00D418DA">
      <w:pPr>
        <w:ind w:firstLine="709"/>
        <w:contextualSpacing/>
        <w:rPr>
          <w:szCs w:val="28"/>
        </w:rPr>
      </w:pPr>
      <w:r w:rsidRPr="00E46934">
        <w:rPr>
          <w:szCs w:val="28"/>
        </w:rPr>
        <w:t>Объем платежей в бюджетную систему Российской Федерации от использования лесов, расположенных на землях лесного фонда, в расчете на 1 га земель лесного фонда составил 292,6 рублей при запланированном значении – 252,1 рублей (процент выполнения – 116,1%).</w:t>
      </w:r>
    </w:p>
    <w:p w:rsidR="0037574B" w:rsidRPr="00E46934" w:rsidRDefault="0037574B" w:rsidP="00D418DA">
      <w:pPr>
        <w:ind w:firstLine="709"/>
        <w:contextualSpacing/>
        <w:rPr>
          <w:szCs w:val="28"/>
        </w:rPr>
      </w:pPr>
      <w:r w:rsidRPr="00E46934">
        <w:rPr>
          <w:szCs w:val="28"/>
        </w:rPr>
        <w:t xml:space="preserve">Плановое задание по поступлению доходов за использование лесов в бюджеты всех уровней выполнено: всего поступило 361,6 млн. рублей, в том числе в федеральный бюджет – 294,1 млн. рублей, в республиканский бюджет – 67,5 млн. рублей. </w:t>
      </w:r>
    </w:p>
    <w:p w:rsidR="00095E64" w:rsidRPr="00E46934" w:rsidRDefault="00095E64" w:rsidP="00D418DA">
      <w:pPr>
        <w:ind w:firstLine="709"/>
        <w:contextualSpacing/>
        <w:rPr>
          <w:szCs w:val="28"/>
        </w:rPr>
      </w:pPr>
      <w:r w:rsidRPr="00E46934">
        <w:rPr>
          <w:szCs w:val="28"/>
        </w:rPr>
        <w:t xml:space="preserve">За 2019 год проведено 23 аукциона по продаже права на заключение договора купли-продажи лесных насаждений для субъектов малого и среднего предпринимательства. Всего выставлено 1282 лота лесных насаждений в объеме 911,1 тыс. </w:t>
      </w:r>
      <w:proofErr w:type="spellStart"/>
      <w:r w:rsidRPr="00E46934">
        <w:rPr>
          <w:szCs w:val="28"/>
        </w:rPr>
        <w:t>кбм</w:t>
      </w:r>
      <w:proofErr w:type="spellEnd"/>
      <w:r w:rsidRPr="00E46934">
        <w:rPr>
          <w:szCs w:val="28"/>
        </w:rPr>
        <w:t xml:space="preserve"> на общую сумму 108460,1 тыс. рублей. Продано 546 лотов в объеме 391,7 тыс. </w:t>
      </w:r>
      <w:proofErr w:type="spellStart"/>
      <w:r w:rsidRPr="00E46934">
        <w:rPr>
          <w:szCs w:val="28"/>
        </w:rPr>
        <w:t>кбм</w:t>
      </w:r>
      <w:proofErr w:type="spellEnd"/>
      <w:r w:rsidRPr="00E46934">
        <w:rPr>
          <w:szCs w:val="28"/>
        </w:rPr>
        <w:t xml:space="preserve"> на общую сумму 57274,4 тыс. рублей (43 % от выставленного объема). Перевыполнение произошло за счет</w:t>
      </w:r>
      <w:r w:rsidR="005457E0" w:rsidRPr="00E46934">
        <w:rPr>
          <w:szCs w:val="28"/>
        </w:rPr>
        <w:t xml:space="preserve"> непрогнозируемого </w:t>
      </w:r>
      <w:r w:rsidRPr="00E46934">
        <w:rPr>
          <w:szCs w:val="28"/>
        </w:rPr>
        <w:t>повышения начальных цен на аукционе</w:t>
      </w:r>
      <w:r w:rsidR="005457E0" w:rsidRPr="00E46934">
        <w:rPr>
          <w:szCs w:val="28"/>
        </w:rPr>
        <w:t>.</w:t>
      </w:r>
    </w:p>
    <w:p w:rsidR="00AD12C3" w:rsidRPr="00E46934" w:rsidRDefault="00AD12C3" w:rsidP="00D418DA">
      <w:pPr>
        <w:ind w:firstLine="709"/>
        <w:contextualSpacing/>
        <w:rPr>
          <w:szCs w:val="28"/>
        </w:rPr>
      </w:pPr>
      <w:r w:rsidRPr="00E46934">
        <w:rPr>
          <w:szCs w:val="28"/>
        </w:rPr>
        <w:lastRenderedPageBreak/>
        <w:t>До</w:t>
      </w:r>
      <w:r w:rsidR="0090233D" w:rsidRPr="00E46934">
        <w:rPr>
          <w:szCs w:val="28"/>
        </w:rPr>
        <w:t>ля площади земель лесного фонда, переданной</w:t>
      </w:r>
      <w:r w:rsidRPr="00E46934">
        <w:rPr>
          <w:szCs w:val="28"/>
        </w:rPr>
        <w:t xml:space="preserve"> в пользование, в общей площади земель лесного фонда составил</w:t>
      </w:r>
      <w:r w:rsidR="0090233D" w:rsidRPr="00E46934">
        <w:rPr>
          <w:szCs w:val="28"/>
        </w:rPr>
        <w:t>а</w:t>
      </w:r>
      <w:r w:rsidRPr="00E46934">
        <w:rPr>
          <w:szCs w:val="28"/>
        </w:rPr>
        <w:t xml:space="preserve"> 28,5%:</w:t>
      </w:r>
    </w:p>
    <w:p w:rsidR="00E50E3C" w:rsidRPr="00E46934" w:rsidRDefault="00E50E3C" w:rsidP="00D418DA">
      <w:pPr>
        <w:ind w:firstLine="709"/>
        <w:contextualSpacing/>
        <w:rPr>
          <w:szCs w:val="28"/>
        </w:rPr>
      </w:pPr>
      <w:r w:rsidRPr="00E46934">
        <w:rPr>
          <w:szCs w:val="28"/>
        </w:rPr>
        <w:t xml:space="preserve">В 2019 году предоставлено лесных участков в пользование по 126 распоряжениям Министерства, </w:t>
      </w:r>
      <w:r w:rsidR="00B145AF" w:rsidRPr="00E46934">
        <w:rPr>
          <w:szCs w:val="28"/>
        </w:rPr>
        <w:t xml:space="preserve">таким образом, </w:t>
      </w:r>
      <w:r w:rsidRPr="00E46934">
        <w:rPr>
          <w:szCs w:val="28"/>
        </w:rPr>
        <w:t>заключено 126 договоров</w:t>
      </w:r>
      <w:r w:rsidR="0090233D" w:rsidRPr="00E46934">
        <w:rPr>
          <w:szCs w:val="28"/>
        </w:rPr>
        <w:t>.</w:t>
      </w:r>
      <w:r w:rsidR="00B145AF" w:rsidRPr="00E46934">
        <w:rPr>
          <w:szCs w:val="28"/>
        </w:rPr>
        <w:t xml:space="preserve"> Также в</w:t>
      </w:r>
      <w:r w:rsidR="0090233D" w:rsidRPr="00E46934">
        <w:rPr>
          <w:szCs w:val="28"/>
        </w:rPr>
        <w:t xml:space="preserve"> 2019 году проведена государственная экспертиза</w:t>
      </w:r>
      <w:r w:rsidRPr="00E46934">
        <w:rPr>
          <w:szCs w:val="28"/>
        </w:rPr>
        <w:t xml:space="preserve"> по 1520 проектам освоения лесов.</w:t>
      </w:r>
    </w:p>
    <w:p w:rsidR="00520994" w:rsidRPr="00E46934" w:rsidRDefault="00520994" w:rsidP="00D418DA">
      <w:pPr>
        <w:pStyle w:val="ConsPlusNormal"/>
        <w:widowControl/>
        <w:ind w:firstLine="709"/>
        <w:contextualSpacing/>
        <w:jc w:val="both"/>
        <w:outlineLvl w:val="1"/>
        <w:rPr>
          <w:rFonts w:ascii="Times New Roman" w:hAnsi="Times New Roman" w:cs="Times New Roman"/>
          <w:sz w:val="28"/>
          <w:szCs w:val="28"/>
        </w:rPr>
      </w:pPr>
      <w:r w:rsidRPr="00E46934">
        <w:rPr>
          <w:rFonts w:ascii="Times New Roman" w:hAnsi="Times New Roman"/>
          <w:sz w:val="28"/>
          <w:szCs w:val="28"/>
        </w:rPr>
        <w:t>Отношение фактического объема заготовки древесины к установленному допус</w:t>
      </w:r>
      <w:r w:rsidR="00AD12C3" w:rsidRPr="00E46934">
        <w:rPr>
          <w:rFonts w:ascii="Times New Roman" w:hAnsi="Times New Roman"/>
          <w:sz w:val="28"/>
          <w:szCs w:val="28"/>
        </w:rPr>
        <w:t>тимому объему изъятия древесины</w:t>
      </w:r>
      <w:r w:rsidR="002C54DA" w:rsidRPr="00E46934">
        <w:rPr>
          <w:rFonts w:ascii="Times New Roman" w:hAnsi="Times New Roman"/>
          <w:sz w:val="28"/>
          <w:szCs w:val="28"/>
        </w:rPr>
        <w:t xml:space="preserve"> сост</w:t>
      </w:r>
      <w:r w:rsidR="00487CC4" w:rsidRPr="00E46934">
        <w:rPr>
          <w:rFonts w:ascii="Times New Roman" w:hAnsi="Times New Roman"/>
          <w:sz w:val="28"/>
          <w:szCs w:val="28"/>
        </w:rPr>
        <w:t>авил</w:t>
      </w:r>
      <w:r w:rsidR="007C0AAC" w:rsidRPr="00E46934">
        <w:rPr>
          <w:rFonts w:ascii="Times New Roman" w:hAnsi="Times New Roman"/>
          <w:sz w:val="28"/>
          <w:szCs w:val="28"/>
        </w:rPr>
        <w:t>о</w:t>
      </w:r>
      <w:r w:rsidR="002C54DA" w:rsidRPr="00E46934">
        <w:rPr>
          <w:rFonts w:ascii="Times New Roman" w:hAnsi="Times New Roman"/>
          <w:sz w:val="28"/>
          <w:szCs w:val="28"/>
        </w:rPr>
        <w:t xml:space="preserve"> 37,3%</w:t>
      </w:r>
      <w:r w:rsidR="00AD12C3" w:rsidRPr="00E46934">
        <w:rPr>
          <w:rFonts w:ascii="Times New Roman" w:hAnsi="Times New Roman"/>
          <w:sz w:val="28"/>
          <w:szCs w:val="28"/>
        </w:rPr>
        <w:t>:</w:t>
      </w:r>
      <w:r w:rsidRPr="00E46934">
        <w:rPr>
          <w:rFonts w:ascii="Times New Roman" w:hAnsi="Times New Roman" w:cs="Times New Roman"/>
          <w:sz w:val="28"/>
          <w:szCs w:val="28"/>
        </w:rPr>
        <w:t xml:space="preserve"> </w:t>
      </w:r>
    </w:p>
    <w:p w:rsidR="00520994" w:rsidRPr="00E46934" w:rsidRDefault="0090233D" w:rsidP="00D418DA">
      <w:pPr>
        <w:ind w:firstLine="709"/>
        <w:contextualSpacing/>
        <w:rPr>
          <w:color w:val="000000"/>
          <w:szCs w:val="28"/>
        </w:rPr>
      </w:pPr>
      <w:r w:rsidRPr="00E46934">
        <w:rPr>
          <w:szCs w:val="28"/>
        </w:rPr>
        <w:t>На основании Федерального з</w:t>
      </w:r>
      <w:r w:rsidR="00520994" w:rsidRPr="00E46934">
        <w:rPr>
          <w:szCs w:val="28"/>
        </w:rPr>
        <w:t xml:space="preserve">акона от 29.06.2015 </w:t>
      </w:r>
      <w:r w:rsidR="00520994" w:rsidRPr="00E46934">
        <w:rPr>
          <w:color w:val="000000"/>
          <w:szCs w:val="28"/>
        </w:rPr>
        <w:t>г. № 206-ФЗ «О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 в лесничествах, лесопарках, расположенных на землях лесного фонда, допускается осуществление заготовки древесины юридическими лицами и индивидуальны</w:t>
      </w:r>
      <w:r w:rsidR="00B145AF" w:rsidRPr="00E46934">
        <w:rPr>
          <w:color w:val="000000"/>
          <w:szCs w:val="28"/>
        </w:rPr>
        <w:t>ми предпринимателями, относящим</w:t>
      </w:r>
      <w:r w:rsidR="00520994" w:rsidRPr="00E46934">
        <w:rPr>
          <w:color w:val="000000"/>
          <w:szCs w:val="28"/>
        </w:rPr>
        <w:t xml:space="preserve">ся в соответствии с Федеральным </w:t>
      </w:r>
      <w:hyperlink r:id="rId8" w:history="1">
        <w:r w:rsidR="00520994" w:rsidRPr="00E46934">
          <w:rPr>
            <w:color w:val="000000"/>
          </w:rPr>
          <w:t>законом</w:t>
        </w:r>
      </w:hyperlink>
      <w:r w:rsidR="00520994" w:rsidRPr="00E46934">
        <w:rPr>
          <w:color w:val="000000"/>
          <w:szCs w:val="28"/>
        </w:rP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520994" w:rsidRPr="00E46934" w:rsidRDefault="00520994" w:rsidP="00D418DA">
      <w:pPr>
        <w:ind w:firstLine="709"/>
        <w:contextualSpacing/>
        <w:rPr>
          <w:color w:val="000000"/>
          <w:szCs w:val="28"/>
        </w:rPr>
      </w:pPr>
      <w:r w:rsidRPr="00E46934">
        <w:rPr>
          <w:color w:val="000000"/>
          <w:szCs w:val="28"/>
        </w:rPr>
        <w:t>В связи с данными изменениями в 2019 году освоение расчетной лесосеки увеличилось.</w:t>
      </w:r>
    </w:p>
    <w:p w:rsidR="00520994" w:rsidRPr="00E46934" w:rsidRDefault="00520994" w:rsidP="00D418DA">
      <w:pPr>
        <w:ind w:firstLine="709"/>
        <w:contextualSpacing/>
        <w:rPr>
          <w:color w:val="000000"/>
          <w:szCs w:val="28"/>
        </w:rPr>
      </w:pPr>
      <w:r w:rsidRPr="00E46934">
        <w:rPr>
          <w:color w:val="000000"/>
          <w:szCs w:val="28"/>
        </w:rPr>
        <w:t xml:space="preserve">Доля выписок, предоставленных гражданам и юридическим лицам,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 в общем количестве принятых заявок </w:t>
      </w:r>
      <w:r w:rsidR="002C54DA" w:rsidRPr="00E46934">
        <w:rPr>
          <w:color w:val="000000"/>
          <w:szCs w:val="28"/>
        </w:rPr>
        <w:t>на предоставление данной услуги составил</w:t>
      </w:r>
      <w:r w:rsidR="0090233D" w:rsidRPr="00E46934">
        <w:rPr>
          <w:color w:val="000000"/>
          <w:szCs w:val="28"/>
        </w:rPr>
        <w:t>а</w:t>
      </w:r>
      <w:r w:rsidR="002C54DA" w:rsidRPr="00E46934">
        <w:rPr>
          <w:color w:val="000000"/>
          <w:szCs w:val="28"/>
        </w:rPr>
        <w:t xml:space="preserve"> 100,8%:</w:t>
      </w:r>
    </w:p>
    <w:p w:rsidR="00520994" w:rsidRPr="00E46934" w:rsidRDefault="0090233D" w:rsidP="00D418DA">
      <w:pPr>
        <w:ind w:firstLine="709"/>
        <w:contextualSpacing/>
        <w:rPr>
          <w:color w:val="000000"/>
          <w:szCs w:val="28"/>
        </w:rPr>
      </w:pPr>
      <w:r w:rsidRPr="00E46934">
        <w:rPr>
          <w:color w:val="000000"/>
          <w:szCs w:val="28"/>
        </w:rPr>
        <w:t>В 2019 году предоставлена</w:t>
      </w:r>
      <w:r w:rsidR="00520994" w:rsidRPr="00E46934">
        <w:rPr>
          <w:color w:val="000000"/>
          <w:szCs w:val="28"/>
        </w:rPr>
        <w:t xml:space="preserve"> 401 выписка из государственного лесного реестра, 3 заявления поступили в конце 2018 года, на </w:t>
      </w:r>
      <w:r w:rsidR="00520994" w:rsidRPr="00E46934">
        <w:rPr>
          <w:szCs w:val="28"/>
        </w:rPr>
        <w:t>которые были предоставлены выписки в 2019 году. В связи с этим произошло перевыполнение плана на 12</w:t>
      </w:r>
      <w:r w:rsidR="00520994" w:rsidRPr="00E46934">
        <w:rPr>
          <w:color w:val="000000"/>
          <w:szCs w:val="28"/>
        </w:rPr>
        <w:t>%.</w:t>
      </w:r>
    </w:p>
    <w:p w:rsidR="004C3004" w:rsidRPr="00E46934" w:rsidRDefault="004C3004" w:rsidP="00D418DA">
      <w:pPr>
        <w:ind w:firstLine="709"/>
        <w:contextualSpacing/>
        <w:rPr>
          <w:color w:val="000000"/>
          <w:szCs w:val="28"/>
        </w:rPr>
      </w:pPr>
      <w:r w:rsidRPr="00E46934">
        <w:rPr>
          <w:color w:val="000000"/>
          <w:szCs w:val="28"/>
        </w:rPr>
        <w:t>Отношение площади лесовосстановления и лесоразведения к площади вырубленных и погибших лесных насаждений составил</w:t>
      </w:r>
      <w:r w:rsidR="0090233D" w:rsidRPr="00E46934">
        <w:rPr>
          <w:color w:val="000000"/>
          <w:szCs w:val="28"/>
        </w:rPr>
        <w:t>о</w:t>
      </w:r>
      <w:r w:rsidRPr="00E46934">
        <w:rPr>
          <w:color w:val="000000"/>
          <w:szCs w:val="28"/>
        </w:rPr>
        <w:t xml:space="preserve"> 67,6%</w:t>
      </w:r>
      <w:r w:rsidRPr="00E46934">
        <w:t xml:space="preserve"> </w:t>
      </w:r>
      <w:r w:rsidRPr="00E46934">
        <w:rPr>
          <w:color w:val="000000"/>
          <w:szCs w:val="28"/>
        </w:rPr>
        <w:t xml:space="preserve">в связи с тем, что площадь лесовосстановления и лесоразведения в 2019 году </w:t>
      </w:r>
      <w:r w:rsidR="00B145AF" w:rsidRPr="00E46934">
        <w:rPr>
          <w:color w:val="000000"/>
          <w:szCs w:val="28"/>
        </w:rPr>
        <w:t xml:space="preserve">была увеличена </w:t>
      </w:r>
      <w:r w:rsidRPr="00E46934">
        <w:rPr>
          <w:color w:val="000000"/>
          <w:szCs w:val="28"/>
        </w:rPr>
        <w:t>(при плане 1729,3 га выполнено 1768,43 га).</w:t>
      </w:r>
    </w:p>
    <w:p w:rsidR="00265641" w:rsidRPr="00E46934" w:rsidRDefault="00265641" w:rsidP="00D418DA">
      <w:pPr>
        <w:ind w:firstLine="709"/>
        <w:contextualSpacing/>
        <w:rPr>
          <w:color w:val="000000"/>
          <w:szCs w:val="28"/>
        </w:rPr>
      </w:pPr>
      <w:r w:rsidRPr="00E46934">
        <w:rPr>
          <w:color w:val="000000"/>
          <w:szCs w:val="28"/>
        </w:rPr>
        <w:t>В связи с обильным урожаем в 2019 году лиственных пород (дуб черешчатый) на объектах лесного семеноводства, с которых заготавливаются семена с улучшенными наследственными свойствами перевыполнен индикатор доля семян с улучшенными наследственными свойствами в общем объеме заготовленных семян.</w:t>
      </w:r>
    </w:p>
    <w:p w:rsidR="00520994" w:rsidRPr="00E46934" w:rsidRDefault="004C3004" w:rsidP="00D418DA">
      <w:pPr>
        <w:ind w:firstLine="709"/>
        <w:contextualSpacing/>
        <w:rPr>
          <w:szCs w:val="28"/>
        </w:rPr>
      </w:pPr>
      <w:r w:rsidRPr="00E46934">
        <w:rPr>
          <w:szCs w:val="28"/>
        </w:rPr>
        <w:t>Доля лесных культур, созданных посадочным материалом с улучшенными наследственными свойствами, в общем объеме искусственного лесовосстановления составил</w:t>
      </w:r>
      <w:r w:rsidR="0090233D" w:rsidRPr="00E46934">
        <w:rPr>
          <w:szCs w:val="28"/>
        </w:rPr>
        <w:t>а</w:t>
      </w:r>
      <w:r w:rsidRPr="00E46934">
        <w:rPr>
          <w:szCs w:val="28"/>
        </w:rPr>
        <w:t xml:space="preserve"> 12,6%</w:t>
      </w:r>
      <w:r w:rsidRPr="00E46934">
        <w:t xml:space="preserve"> </w:t>
      </w:r>
      <w:r w:rsidRPr="00E46934">
        <w:rPr>
          <w:szCs w:val="28"/>
        </w:rPr>
        <w:t xml:space="preserve">в связи с тем, что в наличии имелся посадочный материал лиственных пород (дуб черешчатый) с улучшенными наследственными свойствами, который необходимо было использовать в первую очередь на </w:t>
      </w:r>
      <w:proofErr w:type="spellStart"/>
      <w:r w:rsidRPr="00E46934">
        <w:rPr>
          <w:szCs w:val="28"/>
        </w:rPr>
        <w:t>лесокультурной</w:t>
      </w:r>
      <w:proofErr w:type="spellEnd"/>
      <w:r w:rsidRPr="00E46934">
        <w:rPr>
          <w:szCs w:val="28"/>
        </w:rPr>
        <w:t xml:space="preserve"> площади, соответственно, увеличились посадки лесных культур, созданных посадочным материалом с улучшенными наследственными свойствами.</w:t>
      </w:r>
    </w:p>
    <w:p w:rsidR="00296BFB" w:rsidRPr="00E46934" w:rsidRDefault="00296BFB" w:rsidP="00D418DA">
      <w:pPr>
        <w:ind w:firstLine="709"/>
        <w:contextualSpacing/>
        <w:rPr>
          <w:szCs w:val="28"/>
        </w:rPr>
      </w:pPr>
      <w:r w:rsidRPr="00E46934">
        <w:rPr>
          <w:szCs w:val="28"/>
        </w:rPr>
        <w:t xml:space="preserve">Перевыполнение индикатора доля посадочного материала с закрытой корневой системой в общем количестве посадочного материала связано с тем, что в 2019 году было выращено стандартного посадочного материала в общем количестве 33,2 </w:t>
      </w:r>
      <w:proofErr w:type="spellStart"/>
      <w:r w:rsidRPr="00E46934">
        <w:rPr>
          <w:szCs w:val="28"/>
        </w:rPr>
        <w:t>млн.шт</w:t>
      </w:r>
      <w:proofErr w:type="spellEnd"/>
      <w:r w:rsidRPr="00E46934">
        <w:rPr>
          <w:szCs w:val="28"/>
        </w:rPr>
        <w:t xml:space="preserve">, из них 12 </w:t>
      </w:r>
      <w:proofErr w:type="spellStart"/>
      <w:r w:rsidRPr="00E46934">
        <w:rPr>
          <w:szCs w:val="28"/>
        </w:rPr>
        <w:t>млн.шт</w:t>
      </w:r>
      <w:proofErr w:type="spellEnd"/>
      <w:r w:rsidRPr="00E46934">
        <w:rPr>
          <w:szCs w:val="28"/>
        </w:rPr>
        <w:t>. выращено с закрытой корневой системой.</w:t>
      </w:r>
    </w:p>
    <w:p w:rsidR="00F5228C" w:rsidRPr="00E46934" w:rsidRDefault="00F5228C" w:rsidP="00D418DA">
      <w:pPr>
        <w:ind w:firstLine="709"/>
        <w:contextualSpacing/>
        <w:rPr>
          <w:szCs w:val="28"/>
        </w:rPr>
      </w:pPr>
      <w:r w:rsidRPr="00E46934">
        <w:rPr>
          <w:szCs w:val="28"/>
        </w:rPr>
        <w:lastRenderedPageBreak/>
        <w:t>Для оценки эффективности реализации</w:t>
      </w:r>
      <w:r w:rsidR="007C0AAC" w:rsidRPr="00E46934">
        <w:rPr>
          <w:szCs w:val="28"/>
        </w:rPr>
        <w:t xml:space="preserve"> </w:t>
      </w:r>
      <w:r w:rsidR="00AA5615" w:rsidRPr="00E46934">
        <w:rPr>
          <w:szCs w:val="28"/>
        </w:rPr>
        <w:t xml:space="preserve">Программы </w:t>
      </w:r>
      <w:r w:rsidRPr="00E46934">
        <w:rPr>
          <w:szCs w:val="28"/>
        </w:rPr>
        <w:t>предусмотрено 16 индикаторов. Из них были перевыполнены плановые значения по 9 индикаторам, не достигнуты – по 1.</w:t>
      </w:r>
    </w:p>
    <w:p w:rsidR="00DE66E1" w:rsidRPr="00E46934" w:rsidRDefault="00DE66E1" w:rsidP="00D418DA">
      <w:pPr>
        <w:pStyle w:val="af0"/>
        <w:tabs>
          <w:tab w:val="left" w:pos="993"/>
        </w:tabs>
        <w:ind w:firstLine="709"/>
        <w:jc w:val="both"/>
        <w:rPr>
          <w:sz w:val="28"/>
          <w:szCs w:val="28"/>
        </w:rPr>
      </w:pPr>
      <w:r w:rsidRPr="00E46934">
        <w:rPr>
          <w:sz w:val="28"/>
          <w:szCs w:val="28"/>
        </w:rPr>
        <w:t>В целях приведения индикаторов в соответстви</w:t>
      </w:r>
      <w:r w:rsidR="00B24056" w:rsidRPr="00E46934">
        <w:rPr>
          <w:sz w:val="28"/>
          <w:szCs w:val="28"/>
        </w:rPr>
        <w:t>е</w:t>
      </w:r>
      <w:r w:rsidRPr="00E46934">
        <w:rPr>
          <w:sz w:val="28"/>
          <w:szCs w:val="28"/>
        </w:rPr>
        <w:t xml:space="preserve"> с государственной программой Российской Федерации «Развитие лесного хозяйства»</w:t>
      </w:r>
      <w:r w:rsidR="00B24056" w:rsidRPr="00E46934">
        <w:rPr>
          <w:sz w:val="28"/>
          <w:szCs w:val="28"/>
        </w:rPr>
        <w:t>,</w:t>
      </w:r>
      <w:r w:rsidRPr="00E46934">
        <w:rPr>
          <w:sz w:val="28"/>
          <w:szCs w:val="28"/>
        </w:rPr>
        <w:t xml:space="preserve"> утвержденно</w:t>
      </w:r>
      <w:r w:rsidR="00B24056" w:rsidRPr="00E46934">
        <w:rPr>
          <w:sz w:val="28"/>
          <w:szCs w:val="28"/>
        </w:rPr>
        <w:t>й</w:t>
      </w:r>
      <w:r w:rsidRPr="00E46934">
        <w:rPr>
          <w:sz w:val="28"/>
          <w:szCs w:val="28"/>
        </w:rPr>
        <w:t xml:space="preserve"> Постановление</w:t>
      </w:r>
      <w:r w:rsidR="00B24056" w:rsidRPr="00E46934">
        <w:rPr>
          <w:sz w:val="28"/>
          <w:szCs w:val="28"/>
        </w:rPr>
        <w:t>м</w:t>
      </w:r>
      <w:r w:rsidRPr="00E46934">
        <w:rPr>
          <w:sz w:val="28"/>
          <w:szCs w:val="28"/>
        </w:rPr>
        <w:t xml:space="preserve"> Правительства РФ от 15.04.2014 № 318 «Об утверждении государственной программы Российской Федерации "Развитие лесного хозяйства», продления срока действия до 2024 года в</w:t>
      </w:r>
      <w:r w:rsidR="00095E64" w:rsidRPr="00E46934">
        <w:rPr>
          <w:sz w:val="28"/>
        </w:rPr>
        <w:t xml:space="preserve"> 2019 год</w:t>
      </w:r>
      <w:r w:rsidRPr="00E46934">
        <w:rPr>
          <w:sz w:val="28"/>
        </w:rPr>
        <w:t>у</w:t>
      </w:r>
      <w:r w:rsidR="00095E64" w:rsidRPr="00E46934">
        <w:rPr>
          <w:sz w:val="28"/>
        </w:rPr>
        <w:t xml:space="preserve"> в Программу были внесены изменения</w:t>
      </w:r>
      <w:r w:rsidR="00ED0CDF" w:rsidRPr="00E46934">
        <w:rPr>
          <w:sz w:val="28"/>
        </w:rPr>
        <w:t xml:space="preserve"> </w:t>
      </w:r>
      <w:r w:rsidR="00095E64" w:rsidRPr="00E46934">
        <w:rPr>
          <w:sz w:val="28"/>
          <w:szCs w:val="28"/>
        </w:rPr>
        <w:t>Постановление</w:t>
      </w:r>
      <w:r w:rsidR="00ED0CDF" w:rsidRPr="00E46934">
        <w:rPr>
          <w:sz w:val="28"/>
          <w:szCs w:val="28"/>
        </w:rPr>
        <w:t>м</w:t>
      </w:r>
      <w:r w:rsidR="00095E64" w:rsidRPr="00E46934">
        <w:rPr>
          <w:sz w:val="28"/>
          <w:szCs w:val="28"/>
        </w:rPr>
        <w:t xml:space="preserve"> Кабинета Министров Республики Татарстан </w:t>
      </w:r>
      <w:r w:rsidRPr="00E46934">
        <w:rPr>
          <w:sz w:val="28"/>
          <w:szCs w:val="28"/>
        </w:rPr>
        <w:t>от 19.07.2019 №</w:t>
      </w:r>
      <w:r w:rsidR="00095E64" w:rsidRPr="00E46934">
        <w:rPr>
          <w:sz w:val="28"/>
          <w:szCs w:val="28"/>
        </w:rPr>
        <w:t xml:space="preserve"> 598 </w:t>
      </w:r>
      <w:r w:rsidRPr="00E46934">
        <w:rPr>
          <w:sz w:val="28"/>
          <w:szCs w:val="28"/>
        </w:rPr>
        <w:t>«</w:t>
      </w:r>
      <w:r w:rsidR="00095E64" w:rsidRPr="00E46934">
        <w:rPr>
          <w:sz w:val="28"/>
          <w:szCs w:val="28"/>
        </w:rPr>
        <w:t>О внесении изменений в постановление Кабинета Министров Республики</w:t>
      </w:r>
      <w:r w:rsidRPr="00E46934">
        <w:rPr>
          <w:sz w:val="28"/>
          <w:szCs w:val="28"/>
        </w:rPr>
        <w:t xml:space="preserve"> Татарстан от 30.07.2013 № 531 «</w:t>
      </w:r>
      <w:r w:rsidR="00095E64" w:rsidRPr="00E46934">
        <w:rPr>
          <w:sz w:val="28"/>
          <w:szCs w:val="28"/>
        </w:rPr>
        <w:t>Об утверждении Гос</w:t>
      </w:r>
      <w:r w:rsidR="00506535" w:rsidRPr="00E46934">
        <w:rPr>
          <w:sz w:val="28"/>
          <w:szCs w:val="28"/>
        </w:rPr>
        <w:t>ударственной программы «</w:t>
      </w:r>
      <w:r w:rsidR="00095E64" w:rsidRPr="00E46934">
        <w:rPr>
          <w:sz w:val="28"/>
          <w:szCs w:val="28"/>
        </w:rPr>
        <w:t>Развитие лесного хозяйства Республ</w:t>
      </w:r>
      <w:r w:rsidRPr="00E46934">
        <w:rPr>
          <w:sz w:val="28"/>
          <w:szCs w:val="28"/>
        </w:rPr>
        <w:t>ики Татарстан на 2014-2021 годы».</w:t>
      </w:r>
    </w:p>
    <w:p w:rsidR="00C76C17" w:rsidRDefault="00C76C17" w:rsidP="00520994">
      <w:pPr>
        <w:rPr>
          <w:szCs w:val="28"/>
        </w:rPr>
      </w:pPr>
      <w:bookmarkStart w:id="0" w:name="_GoBack"/>
      <w:bookmarkEnd w:id="0"/>
    </w:p>
    <w:sectPr w:rsidR="00C76C17" w:rsidSect="00487CC4">
      <w:footerReference w:type="default" r:id="rId9"/>
      <w:pgSz w:w="11906" w:h="16838"/>
      <w:pgMar w:top="1134" w:right="567"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E34" w:rsidRPr="002D429A" w:rsidRDefault="00932E34" w:rsidP="002D429A">
      <w:r>
        <w:separator/>
      </w:r>
    </w:p>
  </w:endnote>
  <w:endnote w:type="continuationSeparator" w:id="0">
    <w:p w:rsidR="00932E34" w:rsidRPr="002D429A" w:rsidRDefault="00932E34" w:rsidP="002D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DD" w:rsidRPr="002018AE" w:rsidRDefault="00977CDD">
    <w:pPr>
      <w:pStyle w:val="aa"/>
      <w:rPr>
        <w:sz w:val="22"/>
        <w:szCs w:val="22"/>
      </w:rPr>
    </w:pPr>
  </w:p>
  <w:p w:rsidR="00977CDD" w:rsidRPr="00004F48" w:rsidRDefault="00977CDD" w:rsidP="00BD475B">
    <w:pPr>
      <w:pStyle w:val="aa"/>
      <w:ind w:firstLine="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E34" w:rsidRPr="002D429A" w:rsidRDefault="00932E34" w:rsidP="002D429A">
      <w:r>
        <w:separator/>
      </w:r>
    </w:p>
  </w:footnote>
  <w:footnote w:type="continuationSeparator" w:id="0">
    <w:p w:rsidR="00932E34" w:rsidRPr="002D429A" w:rsidRDefault="00932E34" w:rsidP="002D4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13246"/>
    <w:multiLevelType w:val="hybridMultilevel"/>
    <w:tmpl w:val="B5E46D7A"/>
    <w:lvl w:ilvl="0" w:tplc="CC823E4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52"/>
    <w:rsid w:val="00001733"/>
    <w:rsid w:val="00004F48"/>
    <w:rsid w:val="00013A08"/>
    <w:rsid w:val="00014B27"/>
    <w:rsid w:val="0001623E"/>
    <w:rsid w:val="000172B4"/>
    <w:rsid w:val="000178EB"/>
    <w:rsid w:val="00022729"/>
    <w:rsid w:val="00047079"/>
    <w:rsid w:val="0007535A"/>
    <w:rsid w:val="00093151"/>
    <w:rsid w:val="00095A33"/>
    <w:rsid w:val="00095E64"/>
    <w:rsid w:val="000A267B"/>
    <w:rsid w:val="000A53F4"/>
    <w:rsid w:val="000A5644"/>
    <w:rsid w:val="000B2111"/>
    <w:rsid w:val="000B30BD"/>
    <w:rsid w:val="000B3E63"/>
    <w:rsid w:val="000C3719"/>
    <w:rsid w:val="000C3F85"/>
    <w:rsid w:val="000D0FCE"/>
    <w:rsid w:val="000D28D3"/>
    <w:rsid w:val="000D785C"/>
    <w:rsid w:val="000E4916"/>
    <w:rsid w:val="000F238E"/>
    <w:rsid w:val="000F77AE"/>
    <w:rsid w:val="00101AE7"/>
    <w:rsid w:val="001048A8"/>
    <w:rsid w:val="001054C9"/>
    <w:rsid w:val="00110740"/>
    <w:rsid w:val="00111990"/>
    <w:rsid w:val="00117533"/>
    <w:rsid w:val="00120CAA"/>
    <w:rsid w:val="001226BA"/>
    <w:rsid w:val="001231D8"/>
    <w:rsid w:val="00132F88"/>
    <w:rsid w:val="001343C0"/>
    <w:rsid w:val="00141834"/>
    <w:rsid w:val="001422C5"/>
    <w:rsid w:val="00142AB6"/>
    <w:rsid w:val="001470D1"/>
    <w:rsid w:val="001562C4"/>
    <w:rsid w:val="00157DB3"/>
    <w:rsid w:val="00165AB9"/>
    <w:rsid w:val="001A142F"/>
    <w:rsid w:val="001B23EB"/>
    <w:rsid w:val="001B49DE"/>
    <w:rsid w:val="001B514D"/>
    <w:rsid w:val="001C1087"/>
    <w:rsid w:val="001C1675"/>
    <w:rsid w:val="001C3C2F"/>
    <w:rsid w:val="001C79BB"/>
    <w:rsid w:val="001D0E5E"/>
    <w:rsid w:val="001D426D"/>
    <w:rsid w:val="001E050D"/>
    <w:rsid w:val="002018AE"/>
    <w:rsid w:val="00212E83"/>
    <w:rsid w:val="0021758A"/>
    <w:rsid w:val="0022409C"/>
    <w:rsid w:val="00230E84"/>
    <w:rsid w:val="00232E0D"/>
    <w:rsid w:val="00234CC4"/>
    <w:rsid w:val="00242279"/>
    <w:rsid w:val="00244A8E"/>
    <w:rsid w:val="00250108"/>
    <w:rsid w:val="00262697"/>
    <w:rsid w:val="00262E03"/>
    <w:rsid w:val="00265641"/>
    <w:rsid w:val="00273CD3"/>
    <w:rsid w:val="0027760F"/>
    <w:rsid w:val="00286FF3"/>
    <w:rsid w:val="00290394"/>
    <w:rsid w:val="002935F9"/>
    <w:rsid w:val="00296BFB"/>
    <w:rsid w:val="002A6179"/>
    <w:rsid w:val="002B5DC3"/>
    <w:rsid w:val="002C54DA"/>
    <w:rsid w:val="002C60CA"/>
    <w:rsid w:val="002C715F"/>
    <w:rsid w:val="002D2414"/>
    <w:rsid w:val="002D429A"/>
    <w:rsid w:val="002E5D9D"/>
    <w:rsid w:val="002E6A40"/>
    <w:rsid w:val="002E77B2"/>
    <w:rsid w:val="002F7BE3"/>
    <w:rsid w:val="00312B84"/>
    <w:rsid w:val="00333DD0"/>
    <w:rsid w:val="00337711"/>
    <w:rsid w:val="003474C3"/>
    <w:rsid w:val="003476CA"/>
    <w:rsid w:val="00350E04"/>
    <w:rsid w:val="00362DCB"/>
    <w:rsid w:val="00363CBC"/>
    <w:rsid w:val="00367AFA"/>
    <w:rsid w:val="00371652"/>
    <w:rsid w:val="00371935"/>
    <w:rsid w:val="0037574B"/>
    <w:rsid w:val="00392D57"/>
    <w:rsid w:val="003A215B"/>
    <w:rsid w:val="003A342D"/>
    <w:rsid w:val="003B05DF"/>
    <w:rsid w:val="003B4682"/>
    <w:rsid w:val="003C020F"/>
    <w:rsid w:val="003C081B"/>
    <w:rsid w:val="003C178D"/>
    <w:rsid w:val="003C32DC"/>
    <w:rsid w:val="003D2A15"/>
    <w:rsid w:val="003D4B8F"/>
    <w:rsid w:val="003D6236"/>
    <w:rsid w:val="003D6F9D"/>
    <w:rsid w:val="003E0BFC"/>
    <w:rsid w:val="003F63FE"/>
    <w:rsid w:val="00400703"/>
    <w:rsid w:val="00411FAE"/>
    <w:rsid w:val="004123D4"/>
    <w:rsid w:val="00413FD9"/>
    <w:rsid w:val="004234F4"/>
    <w:rsid w:val="004415ED"/>
    <w:rsid w:val="00442E5D"/>
    <w:rsid w:val="00447184"/>
    <w:rsid w:val="004572D9"/>
    <w:rsid w:val="00461714"/>
    <w:rsid w:val="004624A9"/>
    <w:rsid w:val="00463D5B"/>
    <w:rsid w:val="00472412"/>
    <w:rsid w:val="0047415F"/>
    <w:rsid w:val="00487CC4"/>
    <w:rsid w:val="004947F6"/>
    <w:rsid w:val="0049545F"/>
    <w:rsid w:val="004969FC"/>
    <w:rsid w:val="004979A7"/>
    <w:rsid w:val="004A1E81"/>
    <w:rsid w:val="004A20F0"/>
    <w:rsid w:val="004C0C19"/>
    <w:rsid w:val="004C3004"/>
    <w:rsid w:val="004C650E"/>
    <w:rsid w:val="004E636A"/>
    <w:rsid w:val="004F48C6"/>
    <w:rsid w:val="005000B8"/>
    <w:rsid w:val="00506535"/>
    <w:rsid w:val="00510BB2"/>
    <w:rsid w:val="00520994"/>
    <w:rsid w:val="00525C50"/>
    <w:rsid w:val="00532366"/>
    <w:rsid w:val="00533831"/>
    <w:rsid w:val="005457E0"/>
    <w:rsid w:val="00547532"/>
    <w:rsid w:val="00552836"/>
    <w:rsid w:val="00553868"/>
    <w:rsid w:val="00557FF8"/>
    <w:rsid w:val="00570101"/>
    <w:rsid w:val="00574AC9"/>
    <w:rsid w:val="00575503"/>
    <w:rsid w:val="00581C3A"/>
    <w:rsid w:val="0058344F"/>
    <w:rsid w:val="0058651B"/>
    <w:rsid w:val="00587C9F"/>
    <w:rsid w:val="0059285B"/>
    <w:rsid w:val="00592C4A"/>
    <w:rsid w:val="005970E2"/>
    <w:rsid w:val="005A294E"/>
    <w:rsid w:val="005A546D"/>
    <w:rsid w:val="005B308C"/>
    <w:rsid w:val="005C11E4"/>
    <w:rsid w:val="005C2A3B"/>
    <w:rsid w:val="005D6031"/>
    <w:rsid w:val="005D7852"/>
    <w:rsid w:val="005E419B"/>
    <w:rsid w:val="005E5997"/>
    <w:rsid w:val="005F0CDC"/>
    <w:rsid w:val="005F3815"/>
    <w:rsid w:val="005F579E"/>
    <w:rsid w:val="00600D2B"/>
    <w:rsid w:val="00602C76"/>
    <w:rsid w:val="00611381"/>
    <w:rsid w:val="00614407"/>
    <w:rsid w:val="00626F9E"/>
    <w:rsid w:val="006307BD"/>
    <w:rsid w:val="006414DA"/>
    <w:rsid w:val="0065616A"/>
    <w:rsid w:val="006566B7"/>
    <w:rsid w:val="006603AA"/>
    <w:rsid w:val="006734E7"/>
    <w:rsid w:val="006739A0"/>
    <w:rsid w:val="006839E5"/>
    <w:rsid w:val="00683BCA"/>
    <w:rsid w:val="006842FF"/>
    <w:rsid w:val="0069090F"/>
    <w:rsid w:val="00694D9E"/>
    <w:rsid w:val="006A3A35"/>
    <w:rsid w:val="006B3F9A"/>
    <w:rsid w:val="006C012A"/>
    <w:rsid w:val="006C29DD"/>
    <w:rsid w:val="006D38F2"/>
    <w:rsid w:val="006D4DBE"/>
    <w:rsid w:val="006F2B12"/>
    <w:rsid w:val="006F59E5"/>
    <w:rsid w:val="007039A7"/>
    <w:rsid w:val="007050CA"/>
    <w:rsid w:val="007222FB"/>
    <w:rsid w:val="007253B2"/>
    <w:rsid w:val="007262A7"/>
    <w:rsid w:val="00726329"/>
    <w:rsid w:val="007265BC"/>
    <w:rsid w:val="00731356"/>
    <w:rsid w:val="007319BF"/>
    <w:rsid w:val="00744127"/>
    <w:rsid w:val="00750774"/>
    <w:rsid w:val="007560D1"/>
    <w:rsid w:val="00762E38"/>
    <w:rsid w:val="00773E26"/>
    <w:rsid w:val="007A6D9A"/>
    <w:rsid w:val="007B3FAF"/>
    <w:rsid w:val="007B509A"/>
    <w:rsid w:val="007C0AAC"/>
    <w:rsid w:val="007D2820"/>
    <w:rsid w:val="007E4B49"/>
    <w:rsid w:val="007E7340"/>
    <w:rsid w:val="007E7C93"/>
    <w:rsid w:val="007F4D97"/>
    <w:rsid w:val="007F4F7F"/>
    <w:rsid w:val="007F5152"/>
    <w:rsid w:val="008042F3"/>
    <w:rsid w:val="00804387"/>
    <w:rsid w:val="00815FEF"/>
    <w:rsid w:val="00816530"/>
    <w:rsid w:val="00836B61"/>
    <w:rsid w:val="008375DA"/>
    <w:rsid w:val="0084504E"/>
    <w:rsid w:val="0085737C"/>
    <w:rsid w:val="0087024C"/>
    <w:rsid w:val="00882FB9"/>
    <w:rsid w:val="00883688"/>
    <w:rsid w:val="0088499B"/>
    <w:rsid w:val="0089447F"/>
    <w:rsid w:val="008A07A1"/>
    <w:rsid w:val="008A2953"/>
    <w:rsid w:val="008A6AD2"/>
    <w:rsid w:val="008B0420"/>
    <w:rsid w:val="008B1E9E"/>
    <w:rsid w:val="008B2B1F"/>
    <w:rsid w:val="008B6AEC"/>
    <w:rsid w:val="008D0643"/>
    <w:rsid w:val="008D4577"/>
    <w:rsid w:val="008E0469"/>
    <w:rsid w:val="008E33C0"/>
    <w:rsid w:val="008E4D87"/>
    <w:rsid w:val="008E6EB7"/>
    <w:rsid w:val="008F0505"/>
    <w:rsid w:val="008F088F"/>
    <w:rsid w:val="008F1209"/>
    <w:rsid w:val="0090233D"/>
    <w:rsid w:val="0091020D"/>
    <w:rsid w:val="00915B6C"/>
    <w:rsid w:val="00916161"/>
    <w:rsid w:val="00925218"/>
    <w:rsid w:val="00925259"/>
    <w:rsid w:val="00926780"/>
    <w:rsid w:val="00932E34"/>
    <w:rsid w:val="0094015E"/>
    <w:rsid w:val="00940612"/>
    <w:rsid w:val="00940C2B"/>
    <w:rsid w:val="009462C3"/>
    <w:rsid w:val="0095696E"/>
    <w:rsid w:val="00960CB2"/>
    <w:rsid w:val="00961072"/>
    <w:rsid w:val="00966068"/>
    <w:rsid w:val="009721DF"/>
    <w:rsid w:val="00977CDD"/>
    <w:rsid w:val="00985714"/>
    <w:rsid w:val="009870A0"/>
    <w:rsid w:val="00990EE1"/>
    <w:rsid w:val="009A1D46"/>
    <w:rsid w:val="009A25D2"/>
    <w:rsid w:val="009A4CAB"/>
    <w:rsid w:val="009A4DA1"/>
    <w:rsid w:val="009A5DDE"/>
    <w:rsid w:val="009B0414"/>
    <w:rsid w:val="009C327F"/>
    <w:rsid w:val="009D4225"/>
    <w:rsid w:val="009D525D"/>
    <w:rsid w:val="009D71E4"/>
    <w:rsid w:val="009E453C"/>
    <w:rsid w:val="009F0FD8"/>
    <w:rsid w:val="00A019CD"/>
    <w:rsid w:val="00A057B4"/>
    <w:rsid w:val="00A126B7"/>
    <w:rsid w:val="00A150EB"/>
    <w:rsid w:val="00A241E1"/>
    <w:rsid w:val="00A32E67"/>
    <w:rsid w:val="00A34F3C"/>
    <w:rsid w:val="00A36F85"/>
    <w:rsid w:val="00A41E74"/>
    <w:rsid w:val="00A452E5"/>
    <w:rsid w:val="00A55A1D"/>
    <w:rsid w:val="00A56A32"/>
    <w:rsid w:val="00A56F2F"/>
    <w:rsid w:val="00A6067D"/>
    <w:rsid w:val="00A621A5"/>
    <w:rsid w:val="00A6289F"/>
    <w:rsid w:val="00A6339D"/>
    <w:rsid w:val="00A65C92"/>
    <w:rsid w:val="00A66E2D"/>
    <w:rsid w:val="00A67D5D"/>
    <w:rsid w:val="00A70E61"/>
    <w:rsid w:val="00A72503"/>
    <w:rsid w:val="00A72B44"/>
    <w:rsid w:val="00A73FDE"/>
    <w:rsid w:val="00A82D04"/>
    <w:rsid w:val="00A83566"/>
    <w:rsid w:val="00A90D5F"/>
    <w:rsid w:val="00A919D2"/>
    <w:rsid w:val="00A932F2"/>
    <w:rsid w:val="00A95DBA"/>
    <w:rsid w:val="00A960B6"/>
    <w:rsid w:val="00A97B7C"/>
    <w:rsid w:val="00AA5615"/>
    <w:rsid w:val="00AA647E"/>
    <w:rsid w:val="00AB4743"/>
    <w:rsid w:val="00AB4A64"/>
    <w:rsid w:val="00AB7D1A"/>
    <w:rsid w:val="00AD12C3"/>
    <w:rsid w:val="00AD6290"/>
    <w:rsid w:val="00AE1348"/>
    <w:rsid w:val="00AE3882"/>
    <w:rsid w:val="00AE3F7B"/>
    <w:rsid w:val="00B07FD7"/>
    <w:rsid w:val="00B10B0A"/>
    <w:rsid w:val="00B11768"/>
    <w:rsid w:val="00B145AF"/>
    <w:rsid w:val="00B15BD0"/>
    <w:rsid w:val="00B24056"/>
    <w:rsid w:val="00B26578"/>
    <w:rsid w:val="00B30684"/>
    <w:rsid w:val="00B5066C"/>
    <w:rsid w:val="00B5642F"/>
    <w:rsid w:val="00B5721F"/>
    <w:rsid w:val="00B60381"/>
    <w:rsid w:val="00B8292F"/>
    <w:rsid w:val="00B8444D"/>
    <w:rsid w:val="00BA1A46"/>
    <w:rsid w:val="00BA4163"/>
    <w:rsid w:val="00BA630E"/>
    <w:rsid w:val="00BB78CA"/>
    <w:rsid w:val="00BC3FA3"/>
    <w:rsid w:val="00BD33FA"/>
    <w:rsid w:val="00BD3E33"/>
    <w:rsid w:val="00BD475B"/>
    <w:rsid w:val="00BD5CD1"/>
    <w:rsid w:val="00C04FE9"/>
    <w:rsid w:val="00C05DE5"/>
    <w:rsid w:val="00C144CB"/>
    <w:rsid w:val="00C14A66"/>
    <w:rsid w:val="00C20096"/>
    <w:rsid w:val="00C257DF"/>
    <w:rsid w:val="00C257EC"/>
    <w:rsid w:val="00C25D0B"/>
    <w:rsid w:val="00C32C1B"/>
    <w:rsid w:val="00C44591"/>
    <w:rsid w:val="00C51F2F"/>
    <w:rsid w:val="00C533BE"/>
    <w:rsid w:val="00C550BF"/>
    <w:rsid w:val="00C57EDA"/>
    <w:rsid w:val="00C65989"/>
    <w:rsid w:val="00C7515C"/>
    <w:rsid w:val="00C7616B"/>
    <w:rsid w:val="00C76C17"/>
    <w:rsid w:val="00C7736D"/>
    <w:rsid w:val="00C813B4"/>
    <w:rsid w:val="00C932A9"/>
    <w:rsid w:val="00CA4A06"/>
    <w:rsid w:val="00CA78A9"/>
    <w:rsid w:val="00CB0545"/>
    <w:rsid w:val="00CB18DE"/>
    <w:rsid w:val="00CD311C"/>
    <w:rsid w:val="00CD5237"/>
    <w:rsid w:val="00CD60F3"/>
    <w:rsid w:val="00CF515C"/>
    <w:rsid w:val="00D0711D"/>
    <w:rsid w:val="00D132F4"/>
    <w:rsid w:val="00D17AD6"/>
    <w:rsid w:val="00D20327"/>
    <w:rsid w:val="00D22A8C"/>
    <w:rsid w:val="00D252CA"/>
    <w:rsid w:val="00D4065F"/>
    <w:rsid w:val="00D418DA"/>
    <w:rsid w:val="00D4658C"/>
    <w:rsid w:val="00D60590"/>
    <w:rsid w:val="00D6705D"/>
    <w:rsid w:val="00D74DB2"/>
    <w:rsid w:val="00D77431"/>
    <w:rsid w:val="00D8271D"/>
    <w:rsid w:val="00D93852"/>
    <w:rsid w:val="00D93B66"/>
    <w:rsid w:val="00D96C47"/>
    <w:rsid w:val="00D97330"/>
    <w:rsid w:val="00D97702"/>
    <w:rsid w:val="00DA03CF"/>
    <w:rsid w:val="00DA07D7"/>
    <w:rsid w:val="00DA0D05"/>
    <w:rsid w:val="00DA1211"/>
    <w:rsid w:val="00DA405A"/>
    <w:rsid w:val="00DA6896"/>
    <w:rsid w:val="00DE3433"/>
    <w:rsid w:val="00DE4222"/>
    <w:rsid w:val="00DE66E1"/>
    <w:rsid w:val="00DF4B67"/>
    <w:rsid w:val="00DF6337"/>
    <w:rsid w:val="00E06428"/>
    <w:rsid w:val="00E30BA7"/>
    <w:rsid w:val="00E3547D"/>
    <w:rsid w:val="00E3657F"/>
    <w:rsid w:val="00E46934"/>
    <w:rsid w:val="00E50E3C"/>
    <w:rsid w:val="00E56EBA"/>
    <w:rsid w:val="00E57623"/>
    <w:rsid w:val="00E64703"/>
    <w:rsid w:val="00E71553"/>
    <w:rsid w:val="00E83EF5"/>
    <w:rsid w:val="00E90D84"/>
    <w:rsid w:val="00E93A9D"/>
    <w:rsid w:val="00E964B7"/>
    <w:rsid w:val="00EA11D4"/>
    <w:rsid w:val="00EA204F"/>
    <w:rsid w:val="00EA227B"/>
    <w:rsid w:val="00EB07D8"/>
    <w:rsid w:val="00EB2AA8"/>
    <w:rsid w:val="00EB3FAB"/>
    <w:rsid w:val="00EC1045"/>
    <w:rsid w:val="00EC171C"/>
    <w:rsid w:val="00EC344E"/>
    <w:rsid w:val="00ED0CDF"/>
    <w:rsid w:val="00EE72E4"/>
    <w:rsid w:val="00EF1BBD"/>
    <w:rsid w:val="00F04F22"/>
    <w:rsid w:val="00F0587E"/>
    <w:rsid w:val="00F1287C"/>
    <w:rsid w:val="00F208BC"/>
    <w:rsid w:val="00F254B0"/>
    <w:rsid w:val="00F366CD"/>
    <w:rsid w:val="00F5228C"/>
    <w:rsid w:val="00F56BDB"/>
    <w:rsid w:val="00F6198C"/>
    <w:rsid w:val="00F61C66"/>
    <w:rsid w:val="00F662C2"/>
    <w:rsid w:val="00F84F75"/>
    <w:rsid w:val="00F90103"/>
    <w:rsid w:val="00F90AA0"/>
    <w:rsid w:val="00F92B33"/>
    <w:rsid w:val="00FA3169"/>
    <w:rsid w:val="00FB2612"/>
    <w:rsid w:val="00FB3874"/>
    <w:rsid w:val="00FB7EE9"/>
    <w:rsid w:val="00FC077E"/>
    <w:rsid w:val="00FD1D6B"/>
    <w:rsid w:val="00FD476B"/>
    <w:rsid w:val="00FD6B7E"/>
    <w:rsid w:val="00FE4FBF"/>
    <w:rsid w:val="00FF02C5"/>
    <w:rsid w:val="00FF0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774FD3-6714-409F-B904-535572D1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FA3"/>
    <w:pPr>
      <w:ind w:firstLine="851"/>
      <w:jc w:val="both"/>
    </w:pPr>
    <w:rPr>
      <w:sz w:val="28"/>
    </w:rPr>
  </w:style>
  <w:style w:type="paragraph" w:styleId="1">
    <w:name w:val="heading 1"/>
    <w:basedOn w:val="a"/>
    <w:next w:val="a"/>
    <w:qFormat/>
    <w:rsid w:val="00BC3FA3"/>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B3E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qFormat/>
    <w:rsid w:val="00BC3FA3"/>
    <w:pPr>
      <w:keepNext/>
      <w:ind w:firstLine="0"/>
      <w:jc w:val="center"/>
      <w:outlineLvl w:val="2"/>
    </w:pPr>
    <w:rPr>
      <w:b/>
      <w:sz w:val="24"/>
    </w:rPr>
  </w:style>
  <w:style w:type="paragraph" w:styleId="6">
    <w:name w:val="heading 6"/>
    <w:basedOn w:val="a"/>
    <w:next w:val="a"/>
    <w:qFormat/>
    <w:rsid w:val="00BC3FA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3FA3"/>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qFormat/>
    <w:rsid w:val="00BC3FA3"/>
    <w:pPr>
      <w:ind w:firstLine="0"/>
      <w:jc w:val="center"/>
    </w:pPr>
    <w:rPr>
      <w:b/>
      <w:sz w:val="24"/>
    </w:rPr>
  </w:style>
  <w:style w:type="paragraph" w:styleId="a5">
    <w:name w:val="caption"/>
    <w:basedOn w:val="a"/>
    <w:next w:val="a"/>
    <w:qFormat/>
    <w:rsid w:val="002A6179"/>
    <w:pPr>
      <w:ind w:firstLine="0"/>
      <w:jc w:val="center"/>
    </w:pPr>
    <w:rPr>
      <w:b/>
      <w:sz w:val="32"/>
    </w:rPr>
  </w:style>
  <w:style w:type="paragraph" w:styleId="HTML">
    <w:name w:val="HTML Preformatted"/>
    <w:basedOn w:val="a"/>
    <w:rsid w:val="00532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color w:val="003366"/>
      <w:sz w:val="17"/>
      <w:szCs w:val="17"/>
    </w:rPr>
  </w:style>
  <w:style w:type="paragraph" w:styleId="a6">
    <w:name w:val="Balloon Text"/>
    <w:basedOn w:val="a"/>
    <w:semiHidden/>
    <w:rsid w:val="00B10B0A"/>
    <w:rPr>
      <w:rFonts w:ascii="Tahoma" w:hAnsi="Tahoma" w:cs="Tahoma"/>
      <w:sz w:val="16"/>
      <w:szCs w:val="16"/>
    </w:rPr>
  </w:style>
  <w:style w:type="paragraph" w:styleId="a7">
    <w:name w:val="Document Map"/>
    <w:basedOn w:val="a"/>
    <w:semiHidden/>
    <w:rsid w:val="005F579E"/>
    <w:pPr>
      <w:widowControl w:val="0"/>
      <w:shd w:val="clear" w:color="auto" w:fill="000080"/>
      <w:autoSpaceDE w:val="0"/>
      <w:autoSpaceDN w:val="0"/>
      <w:adjustRightInd w:val="0"/>
      <w:ind w:firstLine="0"/>
      <w:jc w:val="left"/>
    </w:pPr>
    <w:rPr>
      <w:rFonts w:ascii="Tahoma" w:hAnsi="Tahoma" w:cs="Tahoma"/>
      <w:sz w:val="20"/>
    </w:rPr>
  </w:style>
  <w:style w:type="paragraph" w:styleId="a8">
    <w:name w:val="header"/>
    <w:basedOn w:val="a"/>
    <w:rsid w:val="00461714"/>
    <w:pPr>
      <w:tabs>
        <w:tab w:val="center" w:pos="4677"/>
        <w:tab w:val="right" w:pos="9355"/>
      </w:tabs>
      <w:ind w:firstLine="0"/>
      <w:jc w:val="left"/>
    </w:pPr>
    <w:rPr>
      <w:sz w:val="24"/>
      <w:szCs w:val="24"/>
    </w:rPr>
  </w:style>
  <w:style w:type="character" w:styleId="a9">
    <w:name w:val="Hyperlink"/>
    <w:rsid w:val="00262697"/>
    <w:rPr>
      <w:color w:val="0000FF"/>
      <w:u w:val="single"/>
    </w:rPr>
  </w:style>
  <w:style w:type="paragraph" w:styleId="aa">
    <w:name w:val="footer"/>
    <w:basedOn w:val="a"/>
    <w:link w:val="ab"/>
    <w:uiPriority w:val="99"/>
    <w:rsid w:val="002D429A"/>
    <w:pPr>
      <w:tabs>
        <w:tab w:val="center" w:pos="4677"/>
        <w:tab w:val="right" w:pos="9355"/>
      </w:tabs>
    </w:pPr>
    <w:rPr>
      <w:lang w:val="x-none" w:eastAsia="x-none"/>
    </w:rPr>
  </w:style>
  <w:style w:type="character" w:customStyle="1" w:styleId="ab">
    <w:name w:val="Нижний колонтитул Знак"/>
    <w:link w:val="aa"/>
    <w:uiPriority w:val="99"/>
    <w:rsid w:val="002D429A"/>
    <w:rPr>
      <w:sz w:val="28"/>
    </w:rPr>
  </w:style>
  <w:style w:type="paragraph" w:customStyle="1" w:styleId="ac">
    <w:name w:val="Знак Знак Знак"/>
    <w:basedOn w:val="a"/>
    <w:rsid w:val="004E636A"/>
    <w:pPr>
      <w:spacing w:before="100" w:beforeAutospacing="1" w:after="100" w:afterAutospacing="1"/>
      <w:ind w:firstLine="0"/>
      <w:jc w:val="left"/>
    </w:pPr>
    <w:rPr>
      <w:rFonts w:ascii="Tahoma" w:hAnsi="Tahoma"/>
      <w:sz w:val="20"/>
      <w:lang w:val="en-US" w:eastAsia="en-US"/>
    </w:rPr>
  </w:style>
  <w:style w:type="paragraph" w:customStyle="1" w:styleId="ad">
    <w:name w:val="текст письма"/>
    <w:rsid w:val="00762E38"/>
    <w:pPr>
      <w:autoSpaceDE w:val="0"/>
      <w:autoSpaceDN w:val="0"/>
      <w:ind w:firstLine="720"/>
      <w:jc w:val="both"/>
    </w:pPr>
    <w:rPr>
      <w:noProof/>
      <w:sz w:val="28"/>
      <w:szCs w:val="28"/>
      <w:lang w:val="en-US"/>
    </w:rPr>
  </w:style>
  <w:style w:type="paragraph" w:customStyle="1" w:styleId="1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3CBC"/>
    <w:pPr>
      <w:spacing w:before="100" w:beforeAutospacing="1" w:after="100" w:afterAutospacing="1"/>
      <w:ind w:firstLine="0"/>
      <w:jc w:val="left"/>
    </w:pPr>
    <w:rPr>
      <w:rFonts w:ascii="Tahoma" w:hAnsi="Tahoma" w:cs="Tahoma"/>
      <w:sz w:val="20"/>
      <w:lang w:val="en-US" w:eastAsia="en-US"/>
    </w:rPr>
  </w:style>
  <w:style w:type="paragraph" w:customStyle="1" w:styleId="Default">
    <w:name w:val="Default"/>
    <w:rsid w:val="00EC1045"/>
    <w:pPr>
      <w:autoSpaceDE w:val="0"/>
      <w:autoSpaceDN w:val="0"/>
      <w:adjustRightInd w:val="0"/>
    </w:pPr>
    <w:rPr>
      <w:color w:val="000000"/>
      <w:sz w:val="24"/>
      <w:szCs w:val="24"/>
    </w:rPr>
  </w:style>
  <w:style w:type="paragraph" w:styleId="ae">
    <w:name w:val="List Paragraph"/>
    <w:basedOn w:val="a"/>
    <w:uiPriority w:val="34"/>
    <w:qFormat/>
    <w:rsid w:val="006C29DD"/>
    <w:pPr>
      <w:ind w:left="720"/>
      <w:contextualSpacing/>
    </w:pPr>
  </w:style>
  <w:style w:type="character" w:customStyle="1" w:styleId="20">
    <w:name w:val="Заголовок 2 Знак"/>
    <w:basedOn w:val="a0"/>
    <w:link w:val="2"/>
    <w:semiHidden/>
    <w:rsid w:val="000B3E63"/>
    <w:rPr>
      <w:rFonts w:asciiTheme="majorHAnsi" w:eastAsiaTheme="majorEastAsia" w:hAnsiTheme="majorHAnsi" w:cstheme="majorBidi"/>
      <w:color w:val="365F91" w:themeColor="accent1" w:themeShade="BF"/>
      <w:sz w:val="26"/>
      <w:szCs w:val="26"/>
    </w:rPr>
  </w:style>
  <w:style w:type="paragraph" w:styleId="af">
    <w:name w:val="No Spacing"/>
    <w:uiPriority w:val="1"/>
    <w:qFormat/>
    <w:rsid w:val="007222FB"/>
    <w:rPr>
      <w:rFonts w:asciiTheme="minorHAnsi" w:eastAsiaTheme="minorEastAsia" w:hAnsiTheme="minorHAnsi" w:cstheme="minorBidi"/>
      <w:sz w:val="22"/>
      <w:szCs w:val="22"/>
    </w:rPr>
  </w:style>
  <w:style w:type="paragraph" w:customStyle="1" w:styleId="ConsPlusNormal">
    <w:name w:val="ConsPlusNormal"/>
    <w:rsid w:val="00520994"/>
    <w:pPr>
      <w:widowControl w:val="0"/>
      <w:autoSpaceDE w:val="0"/>
      <w:autoSpaceDN w:val="0"/>
      <w:adjustRightInd w:val="0"/>
      <w:ind w:firstLine="720"/>
    </w:pPr>
    <w:rPr>
      <w:rFonts w:ascii="Arial" w:hAnsi="Arial" w:cs="Arial"/>
    </w:rPr>
  </w:style>
  <w:style w:type="paragraph" w:customStyle="1" w:styleId="af0">
    <w:name w:val="мф рт"/>
    <w:basedOn w:val="a"/>
    <w:link w:val="af1"/>
    <w:qFormat/>
    <w:rsid w:val="00095E64"/>
    <w:pPr>
      <w:ind w:firstLine="0"/>
      <w:jc w:val="left"/>
    </w:pPr>
    <w:rPr>
      <w:sz w:val="20"/>
    </w:rPr>
  </w:style>
  <w:style w:type="character" w:customStyle="1" w:styleId="af1">
    <w:name w:val="мф рт Знак"/>
    <w:basedOn w:val="a0"/>
    <w:link w:val="af0"/>
    <w:rsid w:val="00095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4244">
      <w:bodyDiv w:val="1"/>
      <w:marLeft w:val="0"/>
      <w:marRight w:val="0"/>
      <w:marTop w:val="0"/>
      <w:marBottom w:val="0"/>
      <w:divBdr>
        <w:top w:val="none" w:sz="0" w:space="0" w:color="auto"/>
        <w:left w:val="none" w:sz="0" w:space="0" w:color="auto"/>
        <w:bottom w:val="none" w:sz="0" w:space="0" w:color="auto"/>
        <w:right w:val="none" w:sz="0" w:space="0" w:color="auto"/>
      </w:divBdr>
    </w:div>
    <w:div w:id="152452875">
      <w:bodyDiv w:val="1"/>
      <w:marLeft w:val="0"/>
      <w:marRight w:val="0"/>
      <w:marTop w:val="0"/>
      <w:marBottom w:val="0"/>
      <w:divBdr>
        <w:top w:val="none" w:sz="0" w:space="0" w:color="auto"/>
        <w:left w:val="none" w:sz="0" w:space="0" w:color="auto"/>
        <w:bottom w:val="none" w:sz="0" w:space="0" w:color="auto"/>
        <w:right w:val="none" w:sz="0" w:space="0" w:color="auto"/>
      </w:divBdr>
    </w:div>
    <w:div w:id="654342028">
      <w:bodyDiv w:val="1"/>
      <w:marLeft w:val="0"/>
      <w:marRight w:val="0"/>
      <w:marTop w:val="0"/>
      <w:marBottom w:val="0"/>
      <w:divBdr>
        <w:top w:val="none" w:sz="0" w:space="0" w:color="auto"/>
        <w:left w:val="none" w:sz="0" w:space="0" w:color="auto"/>
        <w:bottom w:val="none" w:sz="0" w:space="0" w:color="auto"/>
        <w:right w:val="none" w:sz="0" w:space="0" w:color="auto"/>
      </w:divBdr>
    </w:div>
    <w:div w:id="663632432">
      <w:bodyDiv w:val="1"/>
      <w:marLeft w:val="0"/>
      <w:marRight w:val="0"/>
      <w:marTop w:val="0"/>
      <w:marBottom w:val="0"/>
      <w:divBdr>
        <w:top w:val="none" w:sz="0" w:space="0" w:color="auto"/>
        <w:left w:val="none" w:sz="0" w:space="0" w:color="auto"/>
        <w:bottom w:val="none" w:sz="0" w:space="0" w:color="auto"/>
        <w:right w:val="none" w:sz="0" w:space="0" w:color="auto"/>
      </w:divBdr>
    </w:div>
    <w:div w:id="674845622">
      <w:bodyDiv w:val="1"/>
      <w:marLeft w:val="0"/>
      <w:marRight w:val="0"/>
      <w:marTop w:val="0"/>
      <w:marBottom w:val="0"/>
      <w:divBdr>
        <w:top w:val="none" w:sz="0" w:space="0" w:color="auto"/>
        <w:left w:val="none" w:sz="0" w:space="0" w:color="auto"/>
        <w:bottom w:val="none" w:sz="0" w:space="0" w:color="auto"/>
        <w:right w:val="none" w:sz="0" w:space="0" w:color="auto"/>
      </w:divBdr>
    </w:div>
    <w:div w:id="900362139">
      <w:bodyDiv w:val="1"/>
      <w:marLeft w:val="0"/>
      <w:marRight w:val="0"/>
      <w:marTop w:val="0"/>
      <w:marBottom w:val="0"/>
      <w:divBdr>
        <w:top w:val="none" w:sz="0" w:space="0" w:color="auto"/>
        <w:left w:val="none" w:sz="0" w:space="0" w:color="auto"/>
        <w:bottom w:val="none" w:sz="0" w:space="0" w:color="auto"/>
        <w:right w:val="none" w:sz="0" w:space="0" w:color="auto"/>
      </w:divBdr>
    </w:div>
    <w:div w:id="1101334194">
      <w:bodyDiv w:val="1"/>
      <w:marLeft w:val="0"/>
      <w:marRight w:val="0"/>
      <w:marTop w:val="0"/>
      <w:marBottom w:val="0"/>
      <w:divBdr>
        <w:top w:val="none" w:sz="0" w:space="0" w:color="auto"/>
        <w:left w:val="none" w:sz="0" w:space="0" w:color="auto"/>
        <w:bottom w:val="none" w:sz="0" w:space="0" w:color="auto"/>
        <w:right w:val="none" w:sz="0" w:space="0" w:color="auto"/>
      </w:divBdr>
    </w:div>
    <w:div w:id="1146970087">
      <w:bodyDiv w:val="1"/>
      <w:marLeft w:val="0"/>
      <w:marRight w:val="0"/>
      <w:marTop w:val="0"/>
      <w:marBottom w:val="0"/>
      <w:divBdr>
        <w:top w:val="none" w:sz="0" w:space="0" w:color="auto"/>
        <w:left w:val="none" w:sz="0" w:space="0" w:color="auto"/>
        <w:bottom w:val="none" w:sz="0" w:space="0" w:color="auto"/>
        <w:right w:val="none" w:sz="0" w:space="0" w:color="auto"/>
      </w:divBdr>
    </w:div>
    <w:div w:id="1604339702">
      <w:bodyDiv w:val="1"/>
      <w:marLeft w:val="0"/>
      <w:marRight w:val="0"/>
      <w:marTop w:val="0"/>
      <w:marBottom w:val="0"/>
      <w:divBdr>
        <w:top w:val="none" w:sz="0" w:space="0" w:color="auto"/>
        <w:left w:val="none" w:sz="0" w:space="0" w:color="auto"/>
        <w:bottom w:val="none" w:sz="0" w:space="0" w:color="auto"/>
        <w:right w:val="none" w:sz="0" w:space="0" w:color="auto"/>
      </w:divBdr>
    </w:div>
    <w:div w:id="1831671585">
      <w:bodyDiv w:val="1"/>
      <w:marLeft w:val="0"/>
      <w:marRight w:val="0"/>
      <w:marTop w:val="0"/>
      <w:marBottom w:val="0"/>
      <w:divBdr>
        <w:top w:val="none" w:sz="0" w:space="0" w:color="auto"/>
        <w:left w:val="none" w:sz="0" w:space="0" w:color="auto"/>
        <w:bottom w:val="none" w:sz="0" w:space="0" w:color="auto"/>
        <w:right w:val="none" w:sz="0" w:space="0" w:color="auto"/>
      </w:divBdr>
    </w:div>
    <w:div w:id="187511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2A625BC7F6EDFC1544A5A1F1F562B5BD9365F691C3197DF84797E8C1pEL0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10960-BF86-4504-BBB5-565F5662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1015</Words>
  <Characters>5791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СЕКРЕТАРИАТ ПРЕМЬЕР-МИНИСТРА</vt:lpstr>
    </vt:vector>
  </TitlesOfParts>
  <Company>akmrt</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СЕКРЕТАРИАТ ПРЕМЬЕР-МИНИСТРА</dc:title>
  <dc:creator>Julia</dc:creator>
  <cp:lastModifiedBy>M</cp:lastModifiedBy>
  <cp:revision>19</cp:revision>
  <cp:lastPrinted>2016-11-30T10:58:00Z</cp:lastPrinted>
  <dcterms:created xsi:type="dcterms:W3CDTF">2020-02-28T13:28:00Z</dcterms:created>
  <dcterms:modified xsi:type="dcterms:W3CDTF">2020-03-02T08:21:00Z</dcterms:modified>
</cp:coreProperties>
</file>